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7D" w:rsidRPr="00782ED0" w:rsidRDefault="0093517D" w:rsidP="0093517D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Протокол № 3</w:t>
      </w:r>
    </w:p>
    <w:p w:rsidR="0093517D" w:rsidRPr="00782ED0" w:rsidRDefault="0093517D" w:rsidP="0093517D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Засідання методичної комісії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природничо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- математичного циклу.</w:t>
      </w:r>
    </w:p>
    <w:p w:rsidR="0093517D" w:rsidRPr="00782ED0" w:rsidRDefault="0093517D" w:rsidP="009351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Від 0</w:t>
      </w:r>
      <w:r w:rsidR="00147200" w:rsidRPr="00782ED0">
        <w:rPr>
          <w:rFonts w:ascii="Times New Roman" w:hAnsi="Times New Roman"/>
          <w:sz w:val="24"/>
          <w:szCs w:val="24"/>
          <w:lang w:val="uk-UA"/>
        </w:rPr>
        <w:t>6</w:t>
      </w:r>
      <w:r w:rsidRPr="00782ED0">
        <w:rPr>
          <w:rFonts w:ascii="Times New Roman" w:hAnsi="Times New Roman"/>
          <w:sz w:val="24"/>
          <w:szCs w:val="24"/>
          <w:lang w:val="uk-UA"/>
        </w:rPr>
        <w:t>.11. 201</w:t>
      </w:r>
      <w:r w:rsidR="00147200" w:rsidRPr="00782ED0">
        <w:rPr>
          <w:rFonts w:ascii="Times New Roman" w:hAnsi="Times New Roman"/>
          <w:sz w:val="24"/>
          <w:szCs w:val="24"/>
          <w:lang w:val="uk-UA"/>
        </w:rPr>
        <w:t>5</w:t>
      </w:r>
    </w:p>
    <w:p w:rsidR="0093517D" w:rsidRPr="00782ED0" w:rsidRDefault="0093517D" w:rsidP="0093517D">
      <w:pPr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Присутні: 7чол.</w:t>
      </w:r>
    </w:p>
    <w:p w:rsidR="0093517D" w:rsidRPr="00782ED0" w:rsidRDefault="0093517D" w:rsidP="0093517D">
      <w:pPr>
        <w:ind w:left="993" w:right="-566" w:hanging="1173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(Левчук Н.М.,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Глізнуца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В.О., Стецюк Т.М.,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ЛавріненкоЛ.В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., Андрощук Л.І., Журавльова О.М.,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МіщенкоН.М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>.)</w:t>
      </w:r>
    </w:p>
    <w:p w:rsidR="0093517D" w:rsidRPr="00782ED0" w:rsidRDefault="0093517D" w:rsidP="0093517D">
      <w:pPr>
        <w:ind w:left="142" w:hanging="142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Відсутні ---</w:t>
      </w:r>
    </w:p>
    <w:p w:rsidR="0093517D" w:rsidRPr="00782ED0" w:rsidRDefault="0093517D" w:rsidP="0093517D">
      <w:pPr>
        <w:ind w:left="142" w:hanging="142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Голова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МК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>: Левчук Н.М.</w:t>
      </w:r>
    </w:p>
    <w:p w:rsidR="0093517D" w:rsidRPr="00782ED0" w:rsidRDefault="0093517D" w:rsidP="0093517D">
      <w:pPr>
        <w:ind w:left="142" w:hanging="142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Секретар: Левчук Н.М.</w:t>
      </w:r>
    </w:p>
    <w:p w:rsidR="0093517D" w:rsidRPr="00782ED0" w:rsidRDefault="0093517D" w:rsidP="0093517D">
      <w:pPr>
        <w:ind w:left="142" w:hanging="142"/>
        <w:jc w:val="center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Порядок денний.</w:t>
      </w:r>
    </w:p>
    <w:tbl>
      <w:tblPr>
        <w:tblW w:w="11165" w:type="dxa"/>
        <w:tblLayout w:type="fixed"/>
        <w:tblLook w:val="0000"/>
      </w:tblPr>
      <w:tblGrid>
        <w:gridCol w:w="8472"/>
        <w:gridCol w:w="2693"/>
      </w:tblGrid>
      <w:tr w:rsidR="0093517D" w:rsidRPr="00782ED0" w:rsidTr="00BA467E">
        <w:trPr>
          <w:cantSplit/>
        </w:trPr>
        <w:tc>
          <w:tcPr>
            <w:tcW w:w="8472" w:type="dxa"/>
          </w:tcPr>
          <w:p w:rsidR="0093517D" w:rsidRPr="00782ED0" w:rsidRDefault="0093517D" w:rsidP="009351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1. Робота з обдарованими учнями як чинник підвищення ефективності навчально-виховного процесу.</w:t>
            </w:r>
          </w:p>
          <w:p w:rsidR="0093517D" w:rsidRPr="00782ED0" w:rsidRDefault="0093517D" w:rsidP="00BA4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(Розгляд та аналіз результатів І етапу предметних олімпіад.)</w:t>
            </w:r>
          </w:p>
        </w:tc>
        <w:tc>
          <w:tcPr>
            <w:tcW w:w="2693" w:type="dxa"/>
          </w:tcPr>
          <w:p w:rsidR="0093517D" w:rsidRPr="00782ED0" w:rsidRDefault="0093517D" w:rsidP="00BA467E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:rsidR="0093517D" w:rsidRPr="00782ED0" w:rsidRDefault="0093517D" w:rsidP="00BA467E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Лавріненко</w:t>
            </w:r>
            <w:proofErr w:type="spellEnd"/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Л.В.,</w:t>
            </w:r>
          </w:p>
          <w:p w:rsidR="0093517D" w:rsidRPr="00782ED0" w:rsidRDefault="0093517D" w:rsidP="00BA467E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члени комісії</w:t>
            </w:r>
          </w:p>
        </w:tc>
      </w:tr>
      <w:tr w:rsidR="0093517D" w:rsidRPr="00782ED0" w:rsidTr="00BA467E">
        <w:trPr>
          <w:cantSplit/>
        </w:trPr>
        <w:tc>
          <w:tcPr>
            <w:tcW w:w="8472" w:type="dxa"/>
          </w:tcPr>
          <w:p w:rsidR="0093517D" w:rsidRPr="00782ED0" w:rsidRDefault="0093517D" w:rsidP="00BA4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2.Контроль, як умова ефективності навчання.</w:t>
            </w:r>
          </w:p>
          <w:p w:rsidR="0093517D" w:rsidRPr="00782ED0" w:rsidRDefault="0093517D" w:rsidP="00BA4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(Аналіз успішності учнів І курсу по результатах письмових контрольних робіт за основну школу)</w:t>
            </w:r>
          </w:p>
        </w:tc>
        <w:tc>
          <w:tcPr>
            <w:tcW w:w="2693" w:type="dxa"/>
          </w:tcPr>
          <w:p w:rsidR="0093517D" w:rsidRPr="00782ED0" w:rsidRDefault="0093517D" w:rsidP="00BA467E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:rsidR="0093517D" w:rsidRPr="00782ED0" w:rsidRDefault="0093517D" w:rsidP="00BA4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Лавріненко</w:t>
            </w:r>
            <w:proofErr w:type="spellEnd"/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Л.В,</w:t>
            </w:r>
          </w:p>
          <w:p w:rsidR="0093517D" w:rsidRPr="00782ED0" w:rsidRDefault="0093517D" w:rsidP="00BA4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члени комісії </w:t>
            </w:r>
          </w:p>
        </w:tc>
      </w:tr>
      <w:tr w:rsidR="0093517D" w:rsidRPr="00782ED0" w:rsidTr="00BA467E">
        <w:trPr>
          <w:cantSplit/>
        </w:trPr>
        <w:tc>
          <w:tcPr>
            <w:tcW w:w="8472" w:type="dxa"/>
          </w:tcPr>
          <w:p w:rsidR="0093517D" w:rsidRPr="00782ED0" w:rsidRDefault="0093517D" w:rsidP="00BA4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3.Розробка та обговорення текстів директорських контрольних робіт за І семестр навчального року з математики, фізики, хімії </w:t>
            </w:r>
          </w:p>
        </w:tc>
        <w:tc>
          <w:tcPr>
            <w:tcW w:w="2693" w:type="dxa"/>
          </w:tcPr>
          <w:p w:rsidR="0093517D" w:rsidRPr="00782ED0" w:rsidRDefault="0093517D" w:rsidP="00BA467E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</w:tr>
      <w:tr w:rsidR="0093517D" w:rsidRPr="00782ED0" w:rsidTr="00BA467E">
        <w:trPr>
          <w:cantSplit/>
        </w:trPr>
        <w:tc>
          <w:tcPr>
            <w:tcW w:w="8472" w:type="dxa"/>
          </w:tcPr>
          <w:p w:rsidR="0093517D" w:rsidRPr="00782ED0" w:rsidRDefault="0093517D" w:rsidP="00BA467E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4.Доповідь на тему «</w:t>
            </w:r>
            <w:proofErr w:type="spellStart"/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Взаємонавчання</w:t>
            </w:r>
            <w:proofErr w:type="spellEnd"/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уроках фізики як найважливіший чинник розвитку </w:t>
            </w:r>
            <w:proofErr w:type="spellStart"/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учнів».</w:t>
            </w:r>
          </w:p>
        </w:tc>
        <w:tc>
          <w:tcPr>
            <w:tcW w:w="2693" w:type="dxa"/>
          </w:tcPr>
          <w:p w:rsidR="0093517D" w:rsidRPr="00782ED0" w:rsidRDefault="0093517D" w:rsidP="00BA46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Стецюк Т.М.</w:t>
            </w:r>
          </w:p>
        </w:tc>
      </w:tr>
      <w:tr w:rsidR="0093517D" w:rsidRPr="00782ED0" w:rsidTr="00BA467E">
        <w:trPr>
          <w:cantSplit/>
        </w:trPr>
        <w:tc>
          <w:tcPr>
            <w:tcW w:w="8472" w:type="dxa"/>
          </w:tcPr>
          <w:p w:rsidR="0093517D" w:rsidRPr="00782ED0" w:rsidRDefault="0093517D" w:rsidP="00BA4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5.Позакласний захід з математики: усний журнал «Пошана великим математикам»</w:t>
            </w:r>
          </w:p>
        </w:tc>
        <w:tc>
          <w:tcPr>
            <w:tcW w:w="2693" w:type="dxa"/>
          </w:tcPr>
          <w:p w:rsidR="0093517D" w:rsidRPr="00782ED0" w:rsidRDefault="0093517D" w:rsidP="00BA46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ED0">
              <w:rPr>
                <w:rFonts w:ascii="Times New Roman" w:hAnsi="Times New Roman"/>
                <w:sz w:val="24"/>
                <w:szCs w:val="24"/>
                <w:lang w:val="uk-UA"/>
              </w:rPr>
              <w:t>Левчук Н.М.</w:t>
            </w:r>
          </w:p>
        </w:tc>
      </w:tr>
    </w:tbl>
    <w:p w:rsidR="0093517D" w:rsidRPr="00782ED0" w:rsidRDefault="0093517D" w:rsidP="0093517D">
      <w:pPr>
        <w:ind w:left="142" w:hanging="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517D" w:rsidRPr="00782ED0" w:rsidRDefault="0093517D" w:rsidP="0093517D">
      <w:pPr>
        <w:spacing w:line="276" w:lineRule="auto"/>
        <w:ind w:left="142" w:hanging="142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По - першому питанню</w:t>
      </w:r>
    </w:p>
    <w:p w:rsidR="0093517D" w:rsidRPr="00782ED0" w:rsidRDefault="0093517D" w:rsidP="0093517D">
      <w:pPr>
        <w:spacing w:line="276" w:lineRule="auto"/>
        <w:ind w:left="142" w:firstLine="284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СЛУХАЛИ: : заступника директора з навчальної роботи Лавриненко Л.В., яка висвітлила питання про  роботу з обдарованими учнями як чинник підвищення ефективності навчально-виховного процесу. </w:t>
      </w:r>
    </w:p>
    <w:p w:rsidR="0093517D" w:rsidRPr="00782ED0" w:rsidRDefault="0093517D" w:rsidP="0093517D">
      <w:pPr>
        <w:pStyle w:val="a4"/>
        <w:ind w:firstLine="567"/>
        <w:rPr>
          <w:sz w:val="24"/>
          <w:szCs w:val="24"/>
        </w:rPr>
      </w:pPr>
      <w:r w:rsidRPr="00782ED0">
        <w:rPr>
          <w:bCs/>
          <w:sz w:val="24"/>
          <w:szCs w:val="24"/>
        </w:rPr>
        <w:t xml:space="preserve">В період з 5 жовтня по 15 жовтня 2015 р. в училищі були проведені  олімпіади з загальноосвітніх предметів. </w:t>
      </w:r>
      <w:r w:rsidRPr="00782ED0">
        <w:rPr>
          <w:sz w:val="24"/>
          <w:szCs w:val="24"/>
        </w:rPr>
        <w:t xml:space="preserve">Всього в олімпіадах взяли участь 172 </w:t>
      </w:r>
      <w:proofErr w:type="spellStart"/>
      <w:r w:rsidRPr="00782ED0">
        <w:rPr>
          <w:sz w:val="24"/>
          <w:szCs w:val="24"/>
        </w:rPr>
        <w:t>ученя</w:t>
      </w:r>
      <w:proofErr w:type="spellEnd"/>
      <w:r w:rsidRPr="00782ED0">
        <w:rPr>
          <w:sz w:val="24"/>
          <w:szCs w:val="24"/>
        </w:rPr>
        <w:t>, кращі по своєму інтелектуальному розвитку. Олімпіади пройшли відповідно до затвердженого графіку. Тексти частково взяті з міських олімпіад попередніх років та конкурсних збірників, а частково складені самими викладачами.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Так, наприклад, з математики (викладач Левчук Н.М.) учням </w:t>
      </w:r>
      <w:r w:rsidRPr="00782ED0">
        <w:rPr>
          <w:rFonts w:ascii="Times New Roman" w:hAnsi="Times New Roman"/>
          <w:sz w:val="24"/>
          <w:szCs w:val="24"/>
          <w:lang w:val="en-US"/>
        </w:rPr>
        <w:t>I</w:t>
      </w:r>
      <w:r w:rsidRPr="00782ED0">
        <w:rPr>
          <w:rFonts w:ascii="Times New Roman" w:hAnsi="Times New Roman"/>
          <w:sz w:val="24"/>
          <w:szCs w:val="24"/>
          <w:lang w:val="uk-UA"/>
        </w:rPr>
        <w:t xml:space="preserve"> курсу потрібно було виконати 8 завдань: 6 з алгебри та 2 з геометрії і 6 завдань для учнів </w:t>
      </w:r>
      <w:r w:rsidRPr="00782ED0">
        <w:rPr>
          <w:rFonts w:ascii="Times New Roman" w:hAnsi="Times New Roman"/>
          <w:sz w:val="24"/>
          <w:szCs w:val="24"/>
          <w:lang w:val="en-US"/>
        </w:rPr>
        <w:t>II</w:t>
      </w:r>
      <w:r w:rsidRPr="00782ED0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782ED0">
        <w:rPr>
          <w:rFonts w:ascii="Times New Roman" w:hAnsi="Times New Roman"/>
          <w:sz w:val="24"/>
          <w:szCs w:val="24"/>
          <w:lang w:val="en-US"/>
        </w:rPr>
        <w:t>III</w:t>
      </w:r>
      <w:r w:rsidRPr="00782ED0">
        <w:rPr>
          <w:rFonts w:ascii="Times New Roman" w:hAnsi="Times New Roman"/>
          <w:sz w:val="24"/>
          <w:szCs w:val="24"/>
          <w:lang w:val="uk-UA"/>
        </w:rPr>
        <w:t xml:space="preserve"> курсів (1 з геометрії і 5 в алгебри). Завдання містили задачу логічного характеру, на складання рівнянь та системи рівнянь, задачі на доведення, на відсоткове відношення двох чисел, геометричні задачі направлені на знаходження кутів, довжин, площ та периметрів многокутників.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Учні розв’язали задачу логічного характеру, показали вміння використовувати теорему Піфагора, розв’язувати задачу на відсотки, на складання систем рівнянь.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Під час розв’язування ірраціональних нерівностей учні не знаходили ОДЗ, не змогли ввести нову зміну, тому розв’язок був лише на 20%.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Максимальна кількість балів, які могли б отримати учні </w:t>
      </w:r>
      <w:r w:rsidRPr="00782ED0">
        <w:rPr>
          <w:rFonts w:ascii="Times New Roman" w:hAnsi="Times New Roman"/>
          <w:sz w:val="24"/>
          <w:szCs w:val="24"/>
          <w:lang w:val="en-US"/>
        </w:rPr>
        <w:t>I</w:t>
      </w:r>
      <w:r w:rsidRPr="00782ED0">
        <w:rPr>
          <w:rFonts w:ascii="Times New Roman" w:hAnsi="Times New Roman"/>
          <w:sz w:val="24"/>
          <w:szCs w:val="24"/>
          <w:lang w:val="uk-UA"/>
        </w:rPr>
        <w:t xml:space="preserve"> курсу – 21 бал, а учні </w:t>
      </w:r>
      <w:r w:rsidRPr="00782ED0">
        <w:rPr>
          <w:rFonts w:ascii="Times New Roman" w:hAnsi="Times New Roman"/>
          <w:sz w:val="24"/>
          <w:szCs w:val="24"/>
          <w:lang w:val="en-US"/>
        </w:rPr>
        <w:t>II</w:t>
      </w:r>
      <w:r w:rsidRPr="00782ED0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782ED0">
        <w:rPr>
          <w:rFonts w:ascii="Times New Roman" w:hAnsi="Times New Roman"/>
          <w:sz w:val="24"/>
          <w:szCs w:val="24"/>
          <w:lang w:val="en-US"/>
        </w:rPr>
        <w:t>III</w:t>
      </w:r>
      <w:r w:rsidRPr="00782ED0">
        <w:rPr>
          <w:rFonts w:ascii="Times New Roman" w:hAnsi="Times New Roman"/>
          <w:sz w:val="24"/>
          <w:szCs w:val="24"/>
          <w:lang w:val="uk-UA"/>
        </w:rPr>
        <w:t xml:space="preserve"> курсів – 16 балів.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При перевірці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олімпіадних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робіт журі виявило, що переважна більшість учнів з завданнями справилась. Учні ІІ та ІІІ курсів правильно розв’язали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показникову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нерівність, дали не повні відповіді при розв’язанні систем рівнянь та властивості кореня </w:t>
      </w:r>
      <w:proofErr w:type="spellStart"/>
      <w:r w:rsidRPr="00782ED0">
        <w:rPr>
          <w:rFonts w:ascii="Times New Roman" w:hAnsi="Times New Roman"/>
          <w:i/>
          <w:sz w:val="24"/>
          <w:szCs w:val="24"/>
          <w:lang w:val="uk-UA"/>
        </w:rPr>
        <w:t>п</w:t>
      </w:r>
      <w:r w:rsidRPr="00782ED0">
        <w:rPr>
          <w:rFonts w:ascii="Times New Roman" w:hAnsi="Times New Roman"/>
          <w:sz w:val="24"/>
          <w:szCs w:val="24"/>
          <w:lang w:val="uk-UA"/>
        </w:rPr>
        <w:t>-го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степеня. Практично не розв’язали завдання на теорему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Вієта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та геометричну задачу.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Учні І курсу правильно розв’язали геометричну задачу, арифметичну задачу, не повні відповіді дали при розв’язанні логічних задач і практично не розв’язали задачу на побудову графіка.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Із 12 учасників І курсу 21 бал набрала учениця гр. 615а  Савченко Юлія, яка зайняла І місце. На ІІ та ІІІ курсі жоден з учасників не набрав максимальну кількість балів. Найбільшу кількість балів -  12 отримала учениця групи № 614б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Білошицька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Ольга, яка зайняла ІІІ місце. 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В олімпіаді з фізики (викладач Стецюк Т.М.) взяли участь 18 учнів: з І курсу – 10 учнів, з ІІ курсу – 5 учнів та ІІІ курсу – 3 учні.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Завдання з фізики відповідали текстам міських олімпіад минулих років. Так учні І курсу повинні були показати знання з таких тем, як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“Механіка”і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«Молекулярна фізика» та виконати  5 завдань. За виконання роботи учні могли отримати максимум – 60 балів.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lastRenderedPageBreak/>
        <w:t>Для учнів ІІ курсу завдання включали теми: «Електродинаміка», «Механічні коливання і хвилі», «Електромагнітні коливання». За 5 виконаних завдань учні могли отримати максимум 60 балів.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Від учасників вимагалось глибоке знання теоретичного матеріалу, вміння аналізувати зміст задач, знаходити нестандартні  кроки при їх розв’язанні, проявляти винахідливість і кмітливість.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Аналіз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олімпіадних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робіт з фізики показав, що учні найбільше помилок допускають при математичних розрахунках, застосуванні фізичного змісту задач, використанні одиниць СІ, оформлені розв’язку задач. На І курсі розв’язані завдання складають 52 %, на ІІ курсі – 88 %,  на ІІІ курсі – 53 %. Знання з фізики в учнів слабкі, про що свідчать набрані бали: І місце дано за 53 бали з 60 балів учениці ІІ курсу групи №814 Дулько Аліні.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В олімпіаді з хімії взяло участь 9 учнів, із них з ІІ курсу – 5 учнів та з ІІІ курсу – 4 учня  (викладач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Глізнуца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В.О.).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Тексти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олімпіадних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завдань були підвищеної складності. Вони складалися з розрахункових задач, завдання на знання законів, складання схем, рівнянь реакцій, реакції перетворення, задачі на надлишок, задачі на виведення формул. Максимальна кількість балів, яку могли набрати учні – 55.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В олімпіаді з біології (викладач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Глізнуца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В.О.) взяло участь 12 учнів з них 5 учня І курсу та 7 учні ІІ курсу.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Олімпіадні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завдання на кожному курсу мали по 6 завдань, тестові і на кмітливість. Кожен учень міг набрати максимально 21 бал.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Учні дали повні відповіді з тем: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“Єдність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хімічного складу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організмів”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“Екологічний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аспект еволюційного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вчення”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«Неорганічні речовини організмів», «Ліпіди і вуглеводи», «Фотосинтез», але не вміють вирішувати генетичні задачі, не повні відповіді дали по нуклеїновим кислотам, не знають властивості ферментів. Кращі знання показала учениця групи №814 Дулько Аліна, яка набрала 20 балів з 21 –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го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і зайняла І місце. 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В олімпіаді з інформатики (викладач Журавльова О.М.) взяло участь 18 чоловік. </w:t>
      </w:r>
    </w:p>
    <w:p w:rsidR="0093517D" w:rsidRPr="00782ED0" w:rsidRDefault="0093517D" w:rsidP="0093517D">
      <w:p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Олімпіадні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завдання з інформатики мали 6 завдань і оцінювались в 100 балів. Завдання теоретичні з всіх розділів програми. Відсутні практичні завдання. Краще учні дали відповіді з тем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“Бази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даних СУБД”,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“Алгоритми”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“Таблиці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Excel”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“Операційні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системи”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>, «Текстовий графічний редактор». На багато питань дали не повні відповіді. Погано знають тему «Алгоритмізація та програмування».  Цій темі треба приділити якомога більше уваги.</w:t>
      </w:r>
    </w:p>
    <w:p w:rsidR="0093517D" w:rsidRPr="00782ED0" w:rsidRDefault="0093517D" w:rsidP="0093517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Найбільше балів набрали учениця групи №515б </w:t>
      </w:r>
      <w:proofErr w:type="spellStart"/>
      <w:r w:rsidRPr="00782ED0">
        <w:rPr>
          <w:rFonts w:ascii="Times New Roman" w:hAnsi="Times New Roman"/>
          <w:sz w:val="24"/>
          <w:szCs w:val="24"/>
          <w:lang w:val="uk-UA"/>
        </w:rPr>
        <w:t>Ішмурзаєва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Олена  – 86 балів, яка зайняла ІІ місце, І місце не присуджувалося.</w:t>
      </w:r>
    </w:p>
    <w:p w:rsidR="0093517D" w:rsidRPr="00782ED0" w:rsidRDefault="0093517D" w:rsidP="0093517D">
      <w:pPr>
        <w:pStyle w:val="a4"/>
        <w:ind w:firstLine="567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 xml:space="preserve">В олімпіаді з екології (викладач </w:t>
      </w:r>
      <w:proofErr w:type="spellStart"/>
      <w:r w:rsidRPr="00782ED0">
        <w:rPr>
          <w:bCs/>
          <w:sz w:val="24"/>
          <w:szCs w:val="24"/>
        </w:rPr>
        <w:t>Глізнуца</w:t>
      </w:r>
      <w:proofErr w:type="spellEnd"/>
      <w:r w:rsidRPr="00782ED0">
        <w:rPr>
          <w:bCs/>
          <w:sz w:val="24"/>
          <w:szCs w:val="24"/>
        </w:rPr>
        <w:t xml:space="preserve"> В.О.) взяли участь 6 учнів  ІІІ курсу.</w:t>
      </w:r>
    </w:p>
    <w:p w:rsidR="0093517D" w:rsidRPr="00782ED0" w:rsidRDefault="0093517D" w:rsidP="0093517D">
      <w:pPr>
        <w:pStyle w:val="a4"/>
        <w:ind w:firstLine="0"/>
        <w:rPr>
          <w:bCs/>
          <w:sz w:val="24"/>
          <w:szCs w:val="24"/>
        </w:rPr>
      </w:pPr>
      <w:proofErr w:type="spellStart"/>
      <w:r w:rsidRPr="00782ED0">
        <w:rPr>
          <w:bCs/>
          <w:sz w:val="24"/>
          <w:szCs w:val="24"/>
        </w:rPr>
        <w:t>Олімпіадні</w:t>
      </w:r>
      <w:proofErr w:type="spellEnd"/>
      <w:r w:rsidRPr="00782ED0">
        <w:rPr>
          <w:bCs/>
          <w:sz w:val="24"/>
          <w:szCs w:val="24"/>
        </w:rPr>
        <w:t xml:space="preserve"> завдання складені з тем: «Природа і людина», «Проблеми збереження біологічного і ландшафтного різноманіття», «Проблема оптимальної </w:t>
      </w:r>
      <w:proofErr w:type="spellStart"/>
      <w:r w:rsidRPr="00782ED0">
        <w:rPr>
          <w:bCs/>
          <w:sz w:val="24"/>
          <w:szCs w:val="24"/>
        </w:rPr>
        <w:t>ландшафтно</w:t>
      </w:r>
      <w:proofErr w:type="spellEnd"/>
      <w:r w:rsidRPr="00782ED0">
        <w:rPr>
          <w:bCs/>
          <w:sz w:val="24"/>
          <w:szCs w:val="24"/>
        </w:rPr>
        <w:t xml:space="preserve"> – екологічної організації території». Присутні завдання за зразком ЗНО.</w:t>
      </w:r>
    </w:p>
    <w:p w:rsidR="0093517D" w:rsidRPr="00782ED0" w:rsidRDefault="0093517D" w:rsidP="0093517D">
      <w:pPr>
        <w:pStyle w:val="a4"/>
        <w:ind w:firstLine="567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 xml:space="preserve">Олімпіада показала, що учні вміють визначати сутність складних систем та роль живої природи в організації біосфери, досліджувати особливості основних етапів взаємодії суспільства і природи, аналізувати роль міжнародних та національних програм у збереженні </w:t>
      </w:r>
      <w:proofErr w:type="spellStart"/>
      <w:r w:rsidRPr="00782ED0">
        <w:rPr>
          <w:bCs/>
          <w:sz w:val="24"/>
          <w:szCs w:val="24"/>
        </w:rPr>
        <w:t>біорізноманіття</w:t>
      </w:r>
      <w:proofErr w:type="spellEnd"/>
      <w:r w:rsidRPr="00782ED0">
        <w:rPr>
          <w:bCs/>
          <w:sz w:val="24"/>
          <w:szCs w:val="24"/>
        </w:rPr>
        <w:t>.</w:t>
      </w:r>
    </w:p>
    <w:p w:rsidR="0093517D" w:rsidRPr="00782ED0" w:rsidRDefault="0093517D" w:rsidP="0093517D">
      <w:pPr>
        <w:pStyle w:val="a4"/>
        <w:ind w:firstLine="567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 xml:space="preserve">В учнів викликало труднощі визначення ландшафтно-екологічних пріоритетів розвитку регіону з допомогою </w:t>
      </w:r>
      <w:proofErr w:type="spellStart"/>
      <w:r w:rsidRPr="00782ED0">
        <w:rPr>
          <w:bCs/>
          <w:sz w:val="24"/>
          <w:szCs w:val="24"/>
        </w:rPr>
        <w:t>ронжування</w:t>
      </w:r>
      <w:proofErr w:type="spellEnd"/>
      <w:r w:rsidRPr="00782ED0">
        <w:rPr>
          <w:bCs/>
          <w:sz w:val="24"/>
          <w:szCs w:val="24"/>
        </w:rPr>
        <w:t xml:space="preserve"> видів функцій геосистем, </w:t>
      </w:r>
      <w:proofErr w:type="spellStart"/>
      <w:r w:rsidRPr="00782ED0">
        <w:rPr>
          <w:bCs/>
          <w:sz w:val="24"/>
          <w:szCs w:val="24"/>
        </w:rPr>
        <w:t>співставляти</w:t>
      </w:r>
      <w:proofErr w:type="spellEnd"/>
      <w:r w:rsidRPr="00782ED0">
        <w:rPr>
          <w:bCs/>
          <w:sz w:val="24"/>
          <w:szCs w:val="24"/>
        </w:rPr>
        <w:t xml:space="preserve"> маси природних та технічних поступлень хімічних речовин у </w:t>
      </w:r>
      <w:proofErr w:type="spellStart"/>
      <w:r w:rsidRPr="00782ED0">
        <w:rPr>
          <w:bCs/>
          <w:sz w:val="24"/>
          <w:szCs w:val="24"/>
        </w:rPr>
        <w:t>колообігу</w:t>
      </w:r>
      <w:proofErr w:type="spellEnd"/>
      <w:r w:rsidRPr="00782ED0">
        <w:rPr>
          <w:bCs/>
          <w:sz w:val="24"/>
          <w:szCs w:val="24"/>
        </w:rPr>
        <w:t xml:space="preserve"> речовин і енергії, порівнювати причини і наслідки реакції компонентів природного середовища.</w:t>
      </w:r>
    </w:p>
    <w:p w:rsidR="0093517D" w:rsidRPr="00782ED0" w:rsidRDefault="0093517D" w:rsidP="0093517D">
      <w:pPr>
        <w:pStyle w:val="a4"/>
        <w:ind w:firstLine="567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 xml:space="preserve">Олімпіада оцінювалась в 21 бал. Найбільшу кількість балів набрала учениця групи №813 </w:t>
      </w:r>
      <w:proofErr w:type="spellStart"/>
      <w:r w:rsidRPr="00782ED0">
        <w:rPr>
          <w:bCs/>
          <w:sz w:val="24"/>
          <w:szCs w:val="24"/>
        </w:rPr>
        <w:t>Несенко</w:t>
      </w:r>
      <w:proofErr w:type="spellEnd"/>
      <w:r w:rsidRPr="00782ED0">
        <w:rPr>
          <w:bCs/>
          <w:sz w:val="24"/>
          <w:szCs w:val="24"/>
        </w:rPr>
        <w:t xml:space="preserve"> Наталія – 20 балів. </w:t>
      </w:r>
    </w:p>
    <w:p w:rsidR="0093517D" w:rsidRPr="00782ED0" w:rsidRDefault="0093517D" w:rsidP="0093517D">
      <w:pPr>
        <w:pStyle w:val="a4"/>
        <w:ind w:firstLine="567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>В олімпіадах з географії, інформатики, економіки, інформаційних технологій учні показали низький рівень знань.</w:t>
      </w:r>
    </w:p>
    <w:p w:rsidR="0093517D" w:rsidRPr="00782ED0" w:rsidRDefault="0093517D" w:rsidP="0093517D">
      <w:pPr>
        <w:spacing w:line="276" w:lineRule="auto"/>
        <w:ind w:left="142" w:firstLine="284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УХВАЛИЛИ: Викладачам  зробити детальний аналіз результатів училищних та накреслити шляхи подолання прогалин в знаннях та вміннях учнів. Звернути особливу увагу на розвиток ерудиції, творчої думки, винахідливості, любові до наук та здібностей у молоді. Викладачам провести якісну підготовку вищевказаних учнів до участі в обласних предметних олімпіадах.</w:t>
      </w:r>
    </w:p>
    <w:p w:rsidR="0093517D" w:rsidRPr="00782ED0" w:rsidRDefault="0093517D" w:rsidP="0093517D">
      <w:pPr>
        <w:spacing w:line="276" w:lineRule="auto"/>
        <w:ind w:left="142" w:firstLine="284"/>
        <w:rPr>
          <w:rFonts w:ascii="Times New Roman" w:hAnsi="Times New Roman"/>
          <w:sz w:val="24"/>
          <w:szCs w:val="24"/>
          <w:lang w:val="uk-UA"/>
        </w:rPr>
      </w:pPr>
    </w:p>
    <w:p w:rsidR="0093517D" w:rsidRPr="00782ED0" w:rsidRDefault="0093517D" w:rsidP="0093517D">
      <w:pPr>
        <w:spacing w:line="276" w:lineRule="auto"/>
        <w:ind w:left="142" w:firstLine="284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По - другому питанню.</w:t>
      </w:r>
    </w:p>
    <w:p w:rsidR="00DD725B" w:rsidRPr="00782ED0" w:rsidRDefault="0093517D" w:rsidP="0093517D">
      <w:pPr>
        <w:spacing w:line="276" w:lineRule="auto"/>
        <w:ind w:left="142" w:firstLine="284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СЛУХАЛИ: «Контроль, як умова ефективності навчання.». (Аналіз успішності учнів І курсу по результатах письмових контрольних робіт за основну школу).</w:t>
      </w:r>
    </w:p>
    <w:p w:rsidR="00DD725B" w:rsidRPr="00782ED0" w:rsidRDefault="00DD725B" w:rsidP="00DD725B">
      <w:pPr>
        <w:pStyle w:val="a4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>З метою перевірки базових знань учнів І курсу були проведені діагностичні  контрольні роботи з математики, фізики, хімії, української мови.</w:t>
      </w:r>
    </w:p>
    <w:p w:rsidR="00DD725B" w:rsidRPr="00782ED0" w:rsidRDefault="00DD725B" w:rsidP="00DD725B">
      <w:pPr>
        <w:pStyle w:val="a4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lastRenderedPageBreak/>
        <w:t>На І курс в училищі зараховано 151 учень. Аналіз свідоцтв про освіту нового контингенту показав, що 19 учнів, що складає 13% (в минулому році їх було 17%), закінчили школу на достатньому рівні, а 28 учні, що складає 19% (в минулому році їх було 19%) прийнято в училище з початковим рівнем досягнень.</w:t>
      </w:r>
    </w:p>
    <w:p w:rsidR="00DD725B" w:rsidRPr="00782ED0" w:rsidRDefault="00DD725B" w:rsidP="00DD725B">
      <w:pPr>
        <w:pStyle w:val="a4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>Контрольні роботи писали з:</w:t>
      </w:r>
    </w:p>
    <w:p w:rsidR="00DD725B" w:rsidRPr="00782ED0" w:rsidRDefault="00DD725B" w:rsidP="00DD725B">
      <w:pPr>
        <w:pStyle w:val="a4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>математики</w:t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  <w:t>– 135 учнів – 89%</w:t>
      </w:r>
    </w:p>
    <w:p w:rsidR="00DD725B" w:rsidRPr="00782ED0" w:rsidRDefault="00DD725B" w:rsidP="00DD725B">
      <w:pPr>
        <w:pStyle w:val="a4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 xml:space="preserve">фізики </w:t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  <w:t>– 137 учнів – 91%</w:t>
      </w:r>
    </w:p>
    <w:p w:rsidR="00DD725B" w:rsidRPr="00782ED0" w:rsidRDefault="00DD725B" w:rsidP="00DD725B">
      <w:pPr>
        <w:pStyle w:val="a4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 xml:space="preserve">хімії </w:t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  <w:t>– 94 учня – 89%</w:t>
      </w:r>
    </w:p>
    <w:p w:rsidR="00DD725B" w:rsidRPr="00782ED0" w:rsidRDefault="00DD725B" w:rsidP="00DD725B">
      <w:pPr>
        <w:pStyle w:val="a4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>української мови</w:t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</w:r>
      <w:r w:rsidRPr="00782ED0">
        <w:rPr>
          <w:bCs/>
          <w:sz w:val="24"/>
          <w:szCs w:val="24"/>
        </w:rPr>
        <w:tab/>
        <w:t>– 127 учнів – 84%</w:t>
      </w:r>
    </w:p>
    <w:p w:rsidR="00DD725B" w:rsidRPr="00782ED0" w:rsidRDefault="00DD725B" w:rsidP="00DD725B">
      <w:pPr>
        <w:pStyle w:val="a4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 xml:space="preserve">Успішність новоприбулого контингенту по контрольним роботам виявилась у таких показниках: </w:t>
      </w:r>
    </w:p>
    <w:p w:rsidR="00DD725B" w:rsidRPr="00782ED0" w:rsidRDefault="00DD725B" w:rsidP="00DD725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92"/>
        <w:gridCol w:w="850"/>
        <w:gridCol w:w="709"/>
        <w:gridCol w:w="851"/>
        <w:gridCol w:w="708"/>
        <w:gridCol w:w="851"/>
        <w:gridCol w:w="817"/>
        <w:gridCol w:w="850"/>
        <w:gridCol w:w="601"/>
        <w:gridCol w:w="1276"/>
        <w:gridCol w:w="992"/>
      </w:tblGrid>
      <w:tr w:rsidR="00DD725B" w:rsidRPr="00782ED0" w:rsidTr="00DD725B">
        <w:trPr>
          <w:trHeight w:val="565"/>
        </w:trPr>
        <w:tc>
          <w:tcPr>
            <w:tcW w:w="1560" w:type="dxa"/>
            <w:vMerge w:val="restart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992" w:type="dxa"/>
            <w:vMerge w:val="restart"/>
            <w:vAlign w:val="center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учнів писали роботи </w:t>
            </w:r>
          </w:p>
        </w:tc>
        <w:tc>
          <w:tcPr>
            <w:tcW w:w="1559" w:type="dxa"/>
            <w:gridSpan w:val="2"/>
            <w:vAlign w:val="center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Початковий рівень</w:t>
            </w:r>
          </w:p>
        </w:tc>
        <w:tc>
          <w:tcPr>
            <w:tcW w:w="1559" w:type="dxa"/>
            <w:gridSpan w:val="2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Середній рівень</w:t>
            </w:r>
          </w:p>
        </w:tc>
        <w:tc>
          <w:tcPr>
            <w:tcW w:w="1668" w:type="dxa"/>
            <w:gridSpan w:val="2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Достатній рівень</w:t>
            </w:r>
          </w:p>
        </w:tc>
        <w:tc>
          <w:tcPr>
            <w:tcW w:w="1451" w:type="dxa"/>
            <w:gridSpan w:val="2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Високий рівень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достатнього  та високого рівня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Середній бал з предмету</w:t>
            </w:r>
          </w:p>
        </w:tc>
      </w:tr>
      <w:tr w:rsidR="00DD725B" w:rsidRPr="00782ED0" w:rsidTr="00DD725B">
        <w:trPr>
          <w:trHeight w:val="145"/>
        </w:trPr>
        <w:tc>
          <w:tcPr>
            <w:tcW w:w="1560" w:type="dxa"/>
            <w:vMerge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709" w:type="dxa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851" w:type="dxa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708" w:type="dxa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851" w:type="dxa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817" w:type="dxa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850" w:type="dxa"/>
            <w:vAlign w:val="center"/>
          </w:tcPr>
          <w:p w:rsidR="00DD725B" w:rsidRPr="00782ED0" w:rsidRDefault="00DD725B" w:rsidP="00DD725B">
            <w:pPr>
              <w:ind w:left="-168" w:right="-108"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601" w:type="dxa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D725B" w:rsidRPr="00782ED0" w:rsidTr="00DD725B">
        <w:trPr>
          <w:trHeight w:val="282"/>
        </w:trPr>
        <w:tc>
          <w:tcPr>
            <w:tcW w:w="1560" w:type="dxa"/>
            <w:vAlign w:val="center"/>
          </w:tcPr>
          <w:p w:rsidR="00DD725B" w:rsidRPr="00782ED0" w:rsidRDefault="00DD725B" w:rsidP="00DD725B">
            <w:pPr>
              <w:ind w:firstLine="17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992" w:type="dxa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135</w:t>
            </w:r>
          </w:p>
        </w:tc>
        <w:tc>
          <w:tcPr>
            <w:tcW w:w="850" w:type="dxa"/>
            <w:vAlign w:val="center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68</w:t>
            </w:r>
          </w:p>
        </w:tc>
        <w:tc>
          <w:tcPr>
            <w:tcW w:w="709" w:type="dxa"/>
            <w:vAlign w:val="center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50,4</w:t>
            </w:r>
          </w:p>
        </w:tc>
        <w:tc>
          <w:tcPr>
            <w:tcW w:w="851" w:type="dxa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44</w:t>
            </w:r>
          </w:p>
        </w:tc>
        <w:tc>
          <w:tcPr>
            <w:tcW w:w="708" w:type="dxa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32,6</w:t>
            </w:r>
          </w:p>
        </w:tc>
        <w:tc>
          <w:tcPr>
            <w:tcW w:w="851" w:type="dxa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817" w:type="dxa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16,3</w:t>
            </w:r>
          </w:p>
        </w:tc>
        <w:tc>
          <w:tcPr>
            <w:tcW w:w="850" w:type="dxa"/>
            <w:vAlign w:val="center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01" w:type="dxa"/>
            <w:vAlign w:val="center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</w:tr>
      <w:tr w:rsidR="00DD725B" w:rsidRPr="00782ED0" w:rsidTr="00DD725B">
        <w:trPr>
          <w:trHeight w:val="282"/>
        </w:trPr>
        <w:tc>
          <w:tcPr>
            <w:tcW w:w="1560" w:type="dxa"/>
            <w:vAlign w:val="center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992" w:type="dxa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94</w:t>
            </w:r>
          </w:p>
        </w:tc>
        <w:tc>
          <w:tcPr>
            <w:tcW w:w="850" w:type="dxa"/>
            <w:vAlign w:val="center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11,7</w:t>
            </w:r>
          </w:p>
        </w:tc>
        <w:tc>
          <w:tcPr>
            <w:tcW w:w="851" w:type="dxa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71</w:t>
            </w:r>
          </w:p>
        </w:tc>
        <w:tc>
          <w:tcPr>
            <w:tcW w:w="708" w:type="dxa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75,5</w:t>
            </w:r>
          </w:p>
        </w:tc>
        <w:tc>
          <w:tcPr>
            <w:tcW w:w="851" w:type="dxa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817" w:type="dxa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12,8</w:t>
            </w:r>
          </w:p>
        </w:tc>
        <w:tc>
          <w:tcPr>
            <w:tcW w:w="850" w:type="dxa"/>
            <w:vAlign w:val="center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vAlign w:val="center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12,8</w:t>
            </w:r>
          </w:p>
        </w:tc>
        <w:tc>
          <w:tcPr>
            <w:tcW w:w="992" w:type="dxa"/>
            <w:shd w:val="clear" w:color="auto" w:fill="auto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4,7</w:t>
            </w:r>
          </w:p>
        </w:tc>
      </w:tr>
      <w:tr w:rsidR="00DD725B" w:rsidRPr="00782ED0" w:rsidTr="00DD725B">
        <w:trPr>
          <w:trHeight w:val="282"/>
        </w:trPr>
        <w:tc>
          <w:tcPr>
            <w:tcW w:w="1560" w:type="dxa"/>
            <w:vAlign w:val="center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992" w:type="dxa"/>
            <w:vAlign w:val="center"/>
          </w:tcPr>
          <w:p w:rsidR="00DD725B" w:rsidRPr="00782ED0" w:rsidRDefault="00DD725B" w:rsidP="00DD725B">
            <w:pPr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137</w:t>
            </w:r>
          </w:p>
        </w:tc>
        <w:tc>
          <w:tcPr>
            <w:tcW w:w="850" w:type="dxa"/>
            <w:vAlign w:val="center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42</w:t>
            </w:r>
          </w:p>
        </w:tc>
        <w:tc>
          <w:tcPr>
            <w:tcW w:w="709" w:type="dxa"/>
            <w:vAlign w:val="center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30,7</w:t>
            </w:r>
          </w:p>
        </w:tc>
        <w:tc>
          <w:tcPr>
            <w:tcW w:w="851" w:type="dxa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82</w:t>
            </w:r>
          </w:p>
        </w:tc>
        <w:tc>
          <w:tcPr>
            <w:tcW w:w="708" w:type="dxa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59,9</w:t>
            </w:r>
          </w:p>
        </w:tc>
        <w:tc>
          <w:tcPr>
            <w:tcW w:w="851" w:type="dxa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817" w:type="dxa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8,7</w:t>
            </w:r>
          </w:p>
        </w:tc>
        <w:tc>
          <w:tcPr>
            <w:tcW w:w="850" w:type="dxa"/>
            <w:vAlign w:val="center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01" w:type="dxa"/>
            <w:vAlign w:val="center"/>
          </w:tcPr>
          <w:p w:rsidR="00DD725B" w:rsidRPr="00782ED0" w:rsidRDefault="00DD725B" w:rsidP="00DD725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9,4</w:t>
            </w:r>
          </w:p>
        </w:tc>
        <w:tc>
          <w:tcPr>
            <w:tcW w:w="992" w:type="dxa"/>
            <w:shd w:val="clear" w:color="auto" w:fill="auto"/>
          </w:tcPr>
          <w:p w:rsidR="00DD725B" w:rsidRPr="00782ED0" w:rsidRDefault="00DD725B" w:rsidP="00DD725B">
            <w:pPr>
              <w:ind w:firstLine="45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2ED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4,3</w:t>
            </w:r>
          </w:p>
        </w:tc>
      </w:tr>
    </w:tbl>
    <w:p w:rsidR="00DD725B" w:rsidRPr="00782ED0" w:rsidRDefault="00DD725B" w:rsidP="00DD725B">
      <w:pPr>
        <w:rPr>
          <w:rFonts w:ascii="Times New Roman" w:hAnsi="Times New Roman"/>
          <w:sz w:val="24"/>
          <w:szCs w:val="24"/>
          <w:lang w:val="uk-UA"/>
        </w:rPr>
      </w:pPr>
    </w:p>
    <w:p w:rsidR="00DD725B" w:rsidRPr="00782ED0" w:rsidRDefault="00DD725B" w:rsidP="00DD725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Цифровий і якісний аналіз робіт свідчить про низький рівень успішності і низьку якість знань, умінь і навичок колишніх випускників 9-х класів. Жоден учень не написав всі перевірочні контрольні роботи на високому або достатньому рівнях та 51 учень (34%) на початковому рівні.</w:t>
      </w:r>
    </w:p>
    <w:p w:rsidR="00DD725B" w:rsidRPr="00782ED0" w:rsidRDefault="00DD725B" w:rsidP="00DD725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Метою контрольної роботи з математики було  перевірити  сформованість в учнів системи знань, умінь, та навичок і виявити рівень навчальних досягнень з предмету. Учням були запропоновані завдання з тем: рівняння і нерівності, дії з дробами, спрощення алгебраїчних виразів, обчислення периметру і площі многокутників та знаходження їх невідомих елементів.</w:t>
      </w:r>
    </w:p>
    <w:p w:rsidR="00DD725B" w:rsidRPr="00782ED0" w:rsidRDefault="00DD725B" w:rsidP="00DD725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Учні показали низькі результати НДУ. Аналіз робіт свідчить, що учні мають прогалини в знаннях.</w:t>
      </w:r>
    </w:p>
    <w:p w:rsidR="00DD725B" w:rsidRPr="00782ED0" w:rsidRDefault="00DD725B" w:rsidP="00DD725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Вміють: </w:t>
      </w:r>
    </w:p>
    <w:p w:rsidR="00DD725B" w:rsidRPr="00782ED0" w:rsidRDefault="00DD725B" w:rsidP="00DD725B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розв’язувати квадратні рівняння – 30 учнів (23 %)</w:t>
      </w:r>
    </w:p>
    <w:p w:rsidR="00DD725B" w:rsidRPr="00782ED0" w:rsidRDefault="00DD725B" w:rsidP="00DD725B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спрощувати елементарні вирази – 42 учня (32%)</w:t>
      </w:r>
    </w:p>
    <w:p w:rsidR="00DD725B" w:rsidRPr="00782ED0" w:rsidRDefault="00DD725B" w:rsidP="00DD725B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виконувати дії з дробами – 32 учні (24 %)</w:t>
      </w:r>
    </w:p>
    <w:p w:rsidR="00DD725B" w:rsidRPr="00782ED0" w:rsidRDefault="00DD725B" w:rsidP="00DD725B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розрізняють фігури і виконують їх побудову – 25 учнів (19 %)</w:t>
      </w:r>
    </w:p>
    <w:p w:rsidR="00DD725B" w:rsidRPr="00782ED0" w:rsidRDefault="00DD725B" w:rsidP="00DD725B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знаходити периметр фігур – 35 учнів (27 %)</w:t>
      </w:r>
    </w:p>
    <w:p w:rsidR="00DD725B" w:rsidRPr="00782ED0" w:rsidRDefault="00DD725B" w:rsidP="00DD725B">
      <w:pPr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Типові помилки: </w:t>
      </w:r>
    </w:p>
    <w:p w:rsidR="00DD725B" w:rsidRPr="00782ED0" w:rsidRDefault="00DD725B" w:rsidP="00DD725B">
      <w:pPr>
        <w:tabs>
          <w:tab w:val="left" w:pos="709"/>
        </w:tabs>
        <w:ind w:left="360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- при розв’язування лінійних рівнянь – 36 учнів (27 %)</w:t>
      </w:r>
    </w:p>
    <w:p w:rsidR="00DD725B" w:rsidRPr="00782ED0" w:rsidRDefault="00DD725B" w:rsidP="00DD725B">
      <w:pPr>
        <w:tabs>
          <w:tab w:val="left" w:pos="709"/>
        </w:tabs>
        <w:ind w:firstLine="360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- при розв’язування квадратичної нерівності – 60 учнів (46 %)</w:t>
      </w:r>
    </w:p>
    <w:p w:rsidR="00DD725B" w:rsidRPr="00782ED0" w:rsidRDefault="00DD725B" w:rsidP="00DD725B">
      <w:pPr>
        <w:tabs>
          <w:tab w:val="left" w:pos="709"/>
        </w:tabs>
        <w:ind w:firstLine="360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- при застосування формул скороченого множення – 38 учнів (29 %)</w:t>
      </w:r>
    </w:p>
    <w:p w:rsidR="00DD725B" w:rsidRPr="00782ED0" w:rsidRDefault="00DD725B" w:rsidP="00DD725B">
      <w:pPr>
        <w:tabs>
          <w:tab w:val="left" w:pos="709"/>
        </w:tabs>
        <w:ind w:firstLine="360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- при обчисленні площ фігур – 52 учнів (40 %)</w:t>
      </w:r>
    </w:p>
    <w:p w:rsidR="00DD725B" w:rsidRPr="00782ED0" w:rsidRDefault="00DD725B" w:rsidP="00DD725B">
      <w:pPr>
        <w:ind w:firstLine="600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Результати перевірочної контрольної роботи показали, що більшість учнів слабо володіють теоретичним і практичним матеріалом за попередні роки навчання. </w:t>
      </w:r>
    </w:p>
    <w:p w:rsidR="00DD725B" w:rsidRPr="00782ED0" w:rsidRDefault="00DD725B" w:rsidP="00DD725B">
      <w:pPr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Контрольна робота з фізики складалась з двох основних варіантів по шість завдань різного рівня складності, що відображалось в кількості балів за задачу. Максимальний бал – 12. </w:t>
      </w:r>
    </w:p>
    <w:p w:rsidR="00DD725B" w:rsidRPr="00782ED0" w:rsidRDefault="00DD725B" w:rsidP="00DD725B">
      <w:pPr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Завдання 1-3 тестові, подібні до завдань ЗНО. Завдання 4 графічного характеру. Завдання 5-6 кількісні задачі.</w:t>
      </w:r>
    </w:p>
    <w:p w:rsidR="00DD725B" w:rsidRPr="00782ED0" w:rsidRDefault="00DD725B" w:rsidP="00DD725B">
      <w:pPr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Серед задач були якісні:</w:t>
      </w:r>
    </w:p>
    <w:p w:rsidR="00DD725B" w:rsidRPr="00782ED0" w:rsidRDefault="00DD725B" w:rsidP="00DD725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на прямолінійний рівноприскорений та рівномірний рух;</w:t>
      </w:r>
    </w:p>
    <w:p w:rsidR="00DD725B" w:rsidRPr="00782ED0" w:rsidRDefault="00DD725B" w:rsidP="00DD725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на вплив сил, що діють на тіло;</w:t>
      </w:r>
    </w:p>
    <w:p w:rsidR="00DD725B" w:rsidRPr="00782ED0" w:rsidRDefault="00DD725B" w:rsidP="00DD725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на перетворення фізичних величин в систему СІ.</w:t>
      </w:r>
    </w:p>
    <w:p w:rsidR="00DD725B" w:rsidRPr="00782ED0" w:rsidRDefault="00DD725B" w:rsidP="00DD725B">
      <w:pPr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Також були задачі з обчисленням:</w:t>
      </w:r>
    </w:p>
    <w:p w:rsidR="00DD725B" w:rsidRPr="00782ED0" w:rsidRDefault="00DD725B" w:rsidP="00DD725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на закон додавання швидкостей;</w:t>
      </w:r>
    </w:p>
    <w:p w:rsidR="00DD725B" w:rsidRPr="00782ED0" w:rsidRDefault="00DD725B" w:rsidP="00DD725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середню швидкість;</w:t>
      </w:r>
    </w:p>
    <w:p w:rsidR="00DD725B" w:rsidRPr="00782ED0" w:rsidRDefault="00DD725B" w:rsidP="00DD725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зв’язок густини, маси та об’єму;</w:t>
      </w:r>
    </w:p>
    <w:p w:rsidR="00DD725B" w:rsidRPr="00782ED0" w:rsidRDefault="00DD725B" w:rsidP="00DD725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рівновагу тіл.</w:t>
      </w:r>
    </w:p>
    <w:p w:rsidR="00DD725B" w:rsidRPr="00782ED0" w:rsidRDefault="00DD725B" w:rsidP="00DD725B">
      <w:pPr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lastRenderedPageBreak/>
        <w:t>Під час виконання роботи перевірялись знання символів фізичних величин, їх одиниці вимірювання, а також правила запису та розв’язування задач.</w:t>
      </w:r>
    </w:p>
    <w:p w:rsidR="00DD725B" w:rsidRPr="00782ED0" w:rsidRDefault="00DD725B" w:rsidP="00DD725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Аналіз робіт показав такі типові помилки:</w:t>
      </w:r>
    </w:p>
    <w:p w:rsidR="00DD725B" w:rsidRPr="00782ED0" w:rsidRDefault="00DD725B" w:rsidP="00DD72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не знають або помиляються в позначенні фізичних величин та одиниць їх вимірювання (60%);</w:t>
      </w:r>
    </w:p>
    <w:p w:rsidR="00DD725B" w:rsidRPr="00782ED0" w:rsidRDefault="00DD725B" w:rsidP="00DD72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при розв’язуванні задач не вміють виконувати дії з розмінностями фізичних величин та переводити їх в систему СІ (70 %);</w:t>
      </w:r>
    </w:p>
    <w:p w:rsidR="00DD725B" w:rsidRPr="00782ED0" w:rsidRDefault="00DD725B" w:rsidP="00DD72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не вміють математично виділити невідоме із формули (</w:t>
      </w:r>
      <w:bookmarkStart w:id="0" w:name="_GoBack"/>
      <w:bookmarkEnd w:id="0"/>
      <w:r w:rsidRPr="00782ED0">
        <w:rPr>
          <w:rFonts w:ascii="Times New Roman" w:hAnsi="Times New Roman"/>
          <w:sz w:val="24"/>
          <w:szCs w:val="24"/>
          <w:lang w:val="uk-UA"/>
        </w:rPr>
        <w:t>50 %);</w:t>
      </w:r>
    </w:p>
    <w:p w:rsidR="00DD725B" w:rsidRPr="00782ED0" w:rsidRDefault="00DD725B" w:rsidP="00DD72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помиляються під час роботи з дробами (50 %);</w:t>
      </w:r>
    </w:p>
    <w:p w:rsidR="00DD725B" w:rsidRPr="00782ED0" w:rsidRDefault="00DD725B" w:rsidP="00DD72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не вміють висловлювати думки при розв’язанні графічних задач (13 %) та працювати зі степенями  (60 %).</w:t>
      </w:r>
    </w:p>
    <w:p w:rsidR="00DD725B" w:rsidRPr="00782ED0" w:rsidRDefault="00DD725B" w:rsidP="00DD725B">
      <w:pPr>
        <w:pStyle w:val="2"/>
        <w:rPr>
          <w:bCs/>
          <w:sz w:val="24"/>
          <w:szCs w:val="24"/>
          <w:u w:val="none"/>
        </w:rPr>
      </w:pPr>
      <w:r w:rsidRPr="00782ED0">
        <w:rPr>
          <w:bCs/>
          <w:sz w:val="24"/>
          <w:szCs w:val="24"/>
          <w:u w:val="none"/>
        </w:rPr>
        <w:t>Основні помилки допущені при написанні контрольної роботи з фізики – це слабке знання теоретичного матеріалу, що приводить до всіх інших недоліків, невміння застосовувати теоретичні знання в конкретних ситуаціях для розв’язання задач і читання графіків; погане знання загальноприйнятих умовних позначень фізичних величин; відсутні осмислені логічні зв’язки між величинами, незадовільні навики аналізу і побудови графіків.</w:t>
      </w:r>
    </w:p>
    <w:p w:rsidR="00DD725B" w:rsidRPr="00782ED0" w:rsidRDefault="00DD725B" w:rsidP="00DD725B">
      <w:pPr>
        <w:ind w:firstLine="540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Контрольна робота з хімії показала, що учні добре вміють: </w:t>
      </w:r>
    </w:p>
    <w:p w:rsidR="00DD725B" w:rsidRPr="00782ED0" w:rsidRDefault="00DD725B" w:rsidP="00DD725B">
      <w:pPr>
        <w:numPr>
          <w:ilvl w:val="0"/>
          <w:numId w:val="2"/>
        </w:numPr>
        <w:spacing w:line="240" w:lineRule="auto"/>
        <w:ind w:left="0" w:firstLine="360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розрізняти в періодичній системі періоди, групи, головні та побічні підгрупи;</w:t>
      </w:r>
    </w:p>
    <w:p w:rsidR="00DD725B" w:rsidRPr="00782ED0" w:rsidRDefault="00DD725B" w:rsidP="00DD725B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складати формули бінарних сполук за значеннями валентності елементів;</w:t>
      </w:r>
    </w:p>
    <w:p w:rsidR="00DD725B" w:rsidRPr="00782ED0" w:rsidRDefault="00DD725B" w:rsidP="00DD725B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записувати електронні та графічні формули атомів неметалічних елементів;</w:t>
      </w:r>
    </w:p>
    <w:p w:rsidR="00DD725B" w:rsidRPr="00782ED0" w:rsidRDefault="00DD725B" w:rsidP="00DD725B">
      <w:pPr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визначати склад електронних оболонок (енергетичних рівнів і підрівнів) атомів неметалічних елементів.</w:t>
      </w:r>
    </w:p>
    <w:p w:rsidR="00DD725B" w:rsidRPr="00782ED0" w:rsidRDefault="00DD725B" w:rsidP="00DD725B">
      <w:pPr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Але учні не вміють визначати тип хімічного зв’язку у сполуках, обчислювати відносну молекулярну масу та масову частку, використовувати інформацію закладену в періодичній системі, для характеристики елементів простих речовин і сполук, аналізувати зміни властивостей простих речовин залежно від розміщення елементів у періодичній системі.</w:t>
      </w:r>
    </w:p>
    <w:p w:rsidR="00DD725B" w:rsidRPr="00782ED0" w:rsidRDefault="00DD725B" w:rsidP="00DD725B">
      <w:pPr>
        <w:pStyle w:val="a4"/>
        <w:rPr>
          <w:bCs/>
          <w:sz w:val="24"/>
          <w:szCs w:val="24"/>
        </w:rPr>
      </w:pPr>
      <w:r w:rsidRPr="00782ED0">
        <w:rPr>
          <w:bCs/>
          <w:sz w:val="24"/>
          <w:szCs w:val="24"/>
        </w:rPr>
        <w:t xml:space="preserve">Не всі учні були охоплені виконанням робіт через відсутність на уроках. У зв’язку з таким рівнем знань викладачам математики Левчук Н.М., фізики </w:t>
      </w:r>
      <w:r w:rsidRPr="00782ED0">
        <w:rPr>
          <w:bCs/>
          <w:sz w:val="24"/>
          <w:szCs w:val="24"/>
        </w:rPr>
        <w:br/>
        <w:t xml:space="preserve">Стецюк Т.М., хімії </w:t>
      </w:r>
      <w:proofErr w:type="spellStart"/>
      <w:r w:rsidRPr="00782ED0">
        <w:rPr>
          <w:bCs/>
          <w:sz w:val="24"/>
          <w:szCs w:val="24"/>
        </w:rPr>
        <w:t>Глізнуці</w:t>
      </w:r>
      <w:proofErr w:type="spellEnd"/>
      <w:r w:rsidRPr="00782ED0">
        <w:rPr>
          <w:bCs/>
          <w:sz w:val="24"/>
          <w:szCs w:val="24"/>
        </w:rPr>
        <w:t xml:space="preserve"> В.О. треба здійснити велику системну індивідуальну і колективну роботу по засвоєнню учнями навчальних програм І курсу і паралельно організувати роботу по ліквідації  виявлених недоліків.</w:t>
      </w:r>
    </w:p>
    <w:p w:rsidR="00DD725B" w:rsidRPr="00782ED0" w:rsidRDefault="00DD725B" w:rsidP="00DD725B">
      <w:pPr>
        <w:pStyle w:val="a4"/>
        <w:rPr>
          <w:bCs/>
          <w:sz w:val="24"/>
          <w:szCs w:val="24"/>
        </w:rPr>
      </w:pPr>
    </w:p>
    <w:p w:rsidR="0093517D" w:rsidRPr="00782ED0" w:rsidRDefault="0093517D" w:rsidP="0093517D">
      <w:pPr>
        <w:spacing w:line="276" w:lineRule="auto"/>
        <w:ind w:left="142" w:firstLine="284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УХВАЛИЛИ: розробити план роботи по ліквідації прогалин в знаннях учнів. На уроках виконувати вправи для повторення основних понять, правил, формул, теорем, законів. Розробити опорні конспекти, схеми, алгоритми, таблиці для повторення основних понять.</w:t>
      </w:r>
    </w:p>
    <w:p w:rsidR="0093517D" w:rsidRPr="00782ED0" w:rsidRDefault="0093517D" w:rsidP="0093517D">
      <w:pPr>
        <w:spacing w:line="276" w:lineRule="auto"/>
        <w:ind w:left="142" w:firstLine="284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По – третьому питанню </w:t>
      </w:r>
    </w:p>
    <w:p w:rsidR="0093517D" w:rsidRPr="00782ED0" w:rsidRDefault="0093517D" w:rsidP="0093517D">
      <w:pPr>
        <w:spacing w:line="240" w:lineRule="auto"/>
        <w:ind w:firstLine="600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СЛУХАЛИ: «Розробка та обговорення текстів директорських контрольних робіт за І семестр навчального року» викладачів з математики, фізики, хімії, які представили членам методичної комісії тексти директорських контрольних робіт з математики, фізики, хімії. Всі роботи відповідають вивченому матеріалу. Роботи складаються з двох варіантів (математика, хімія), три варіанти (з фізики), всі вони диференційовані: поділені на рівні складності, вказані бали за кожне завдання, містять питання ЗНО.</w:t>
      </w:r>
    </w:p>
    <w:p w:rsidR="0093517D" w:rsidRPr="00782ED0" w:rsidRDefault="0093517D" w:rsidP="0093517D">
      <w:pPr>
        <w:spacing w:line="240" w:lineRule="auto"/>
        <w:ind w:firstLine="600"/>
        <w:jc w:val="both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УХВАЛИЛИ: затвердити тексти директорських контрольних робіт з математики, фізики, хімії.</w:t>
      </w:r>
    </w:p>
    <w:p w:rsidR="0093517D" w:rsidRPr="00782ED0" w:rsidRDefault="0093517D" w:rsidP="0093517D">
      <w:pPr>
        <w:spacing w:line="276" w:lineRule="auto"/>
        <w:ind w:left="142" w:firstLine="284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По – четвертому питанню</w:t>
      </w:r>
    </w:p>
    <w:p w:rsidR="0093517D" w:rsidRPr="00782ED0" w:rsidRDefault="0093517D" w:rsidP="0093517D">
      <w:pPr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СЛУХАЛИ: викладача </w:t>
      </w:r>
      <w:r w:rsidR="00DD725B" w:rsidRPr="00782ED0">
        <w:rPr>
          <w:rFonts w:ascii="Times New Roman" w:hAnsi="Times New Roman"/>
          <w:sz w:val="24"/>
          <w:szCs w:val="24"/>
          <w:lang w:val="uk-UA"/>
        </w:rPr>
        <w:t>фізики Стецюк Т.М.</w:t>
      </w:r>
      <w:r w:rsidRPr="00782ED0">
        <w:rPr>
          <w:rFonts w:ascii="Times New Roman" w:hAnsi="Times New Roman"/>
          <w:sz w:val="24"/>
          <w:szCs w:val="24"/>
          <w:lang w:val="uk-UA"/>
        </w:rPr>
        <w:t xml:space="preserve"> з доповіддю на тему: «</w:t>
      </w:r>
      <w:proofErr w:type="spellStart"/>
      <w:r w:rsidR="00DD725B" w:rsidRPr="00782ED0">
        <w:rPr>
          <w:rFonts w:ascii="Times New Roman" w:hAnsi="Times New Roman"/>
          <w:sz w:val="24"/>
          <w:szCs w:val="24"/>
          <w:lang w:val="uk-UA"/>
        </w:rPr>
        <w:t>Взаємонавчання</w:t>
      </w:r>
      <w:proofErr w:type="spellEnd"/>
      <w:r w:rsidR="00DD725B" w:rsidRPr="00782ED0">
        <w:rPr>
          <w:rFonts w:ascii="Times New Roman" w:hAnsi="Times New Roman"/>
          <w:sz w:val="24"/>
          <w:szCs w:val="24"/>
          <w:lang w:val="uk-UA"/>
        </w:rPr>
        <w:t xml:space="preserve"> на уроках фізики як найважливіший чинник розвитку </w:t>
      </w:r>
      <w:proofErr w:type="spellStart"/>
      <w:r w:rsidR="00DD725B" w:rsidRPr="00782ED0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DD725B" w:rsidRPr="00782ED0">
        <w:rPr>
          <w:rFonts w:ascii="Times New Roman" w:hAnsi="Times New Roman"/>
          <w:sz w:val="24"/>
          <w:szCs w:val="24"/>
          <w:lang w:val="uk-UA"/>
        </w:rPr>
        <w:t xml:space="preserve"> учнів».</w:t>
      </w:r>
    </w:p>
    <w:p w:rsidR="00DD725B" w:rsidRPr="00782ED0" w:rsidRDefault="00DD725B" w:rsidP="00DD725B">
      <w:pPr>
        <w:shd w:val="clear" w:color="auto" w:fill="FFFFFF"/>
        <w:spacing w:line="240" w:lineRule="auto"/>
        <w:ind w:firstLine="284"/>
        <w:rPr>
          <w:rFonts w:ascii="Times New Roman" w:hAnsi="Times New Roman"/>
          <w:sz w:val="24"/>
          <w:szCs w:val="24"/>
          <w:lang w:val="uk-UA" w:eastAsia="ru-RU"/>
        </w:rPr>
      </w:pPr>
      <w:r w:rsidRPr="00782ED0">
        <w:rPr>
          <w:rFonts w:ascii="Times New Roman" w:hAnsi="Times New Roman"/>
          <w:sz w:val="24"/>
          <w:szCs w:val="24"/>
          <w:lang w:val="uk-UA" w:eastAsia="ru-RU"/>
        </w:rPr>
        <w:t>Групова навчальна діяльність, на відміну від фронтальної та індивідуальної, не ізолює учнів один від одного, а навпаки, дозволяє реалізувати природне прагнення до спілкування, взаємодопомоги і співпраці.</w:t>
      </w:r>
    </w:p>
    <w:p w:rsidR="00DD725B" w:rsidRPr="00782ED0" w:rsidRDefault="00DD725B" w:rsidP="00DD725B">
      <w:pPr>
        <w:shd w:val="clear" w:color="auto" w:fill="FFFFFF"/>
        <w:spacing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Відомо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учням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буває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психологічно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складно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звертатись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поясненням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вчителя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набагато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простіше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- до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ровесників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Психолого-педагогічні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82ED0">
        <w:rPr>
          <w:rFonts w:ascii="Times New Roman" w:hAnsi="Times New Roman"/>
          <w:sz w:val="24"/>
          <w:szCs w:val="24"/>
          <w:lang w:eastAsia="ru-RU"/>
        </w:rPr>
        <w:t>досл</w:t>
      </w:r>
      <w:proofErr w:type="gramEnd"/>
      <w:r w:rsidRPr="00782ED0">
        <w:rPr>
          <w:rFonts w:ascii="Times New Roman" w:hAnsi="Times New Roman"/>
          <w:sz w:val="24"/>
          <w:szCs w:val="24"/>
          <w:lang w:eastAsia="ru-RU"/>
        </w:rPr>
        <w:t>ідження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свідчать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групова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навчальна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діяльність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сприяє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активізації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результативності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навчання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школярів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вихованню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гуманних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стосунків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між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ними,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самостійності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вмінню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доводити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відстоювати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свою точку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зору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також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прислуховуватись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до думки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товаришів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ведення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діалогу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відповідальності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результати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своєї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праці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>.</w:t>
      </w:r>
    </w:p>
    <w:p w:rsidR="00DD725B" w:rsidRPr="00782ED0" w:rsidRDefault="00DD725B" w:rsidP="00DD725B">
      <w:pPr>
        <w:shd w:val="clear" w:color="auto" w:fill="FFFFFF"/>
        <w:spacing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782ED0">
        <w:rPr>
          <w:rFonts w:ascii="Times New Roman" w:hAnsi="Times New Roman"/>
          <w:sz w:val="24"/>
          <w:szCs w:val="24"/>
          <w:lang w:eastAsia="ru-RU"/>
        </w:rPr>
        <w:t xml:space="preserve">Робота у невеликих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групах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відкриває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дітей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можливості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співпраці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допомогає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успішному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навчанню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школярів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їх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активність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спільна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творчість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82ED0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782ED0">
        <w:rPr>
          <w:rFonts w:ascii="Times New Roman" w:hAnsi="Times New Roman"/>
          <w:sz w:val="24"/>
          <w:szCs w:val="24"/>
          <w:lang w:eastAsia="ru-RU"/>
        </w:rPr>
        <w:t>ідвищує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ефективність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уроку.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Інколи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індивідуальній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роботі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діяльність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слабких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учнів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приречена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невдачу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у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груповій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роботі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формуються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lastRenderedPageBreak/>
        <w:t>комунікативні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вміння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стимулюються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моральні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переживання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взаємного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навчання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зацікавлення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успіхові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товариша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призводить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самовдосконалення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саморозвитку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самопізнання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дитини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>.</w:t>
      </w:r>
    </w:p>
    <w:p w:rsidR="00DD725B" w:rsidRPr="00782ED0" w:rsidRDefault="00DD725B" w:rsidP="00DD725B">
      <w:pPr>
        <w:shd w:val="clear" w:color="auto" w:fill="FFFFFF"/>
        <w:spacing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Слід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поєднувати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взаємонавчання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з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іншими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методами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роботи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самостійним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пошуком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традиційними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методами.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Неможливо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побудувати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весь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процес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навчання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виключно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інтерактивних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методах.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один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з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багатьох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прийомів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які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допомагають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досягнути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мети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приносять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результат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тільки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82ED0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поєднанні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з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іншими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. До кожного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заняття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слід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сумлінно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готуватися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Легке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за формою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інтерактивне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навчання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надзвичайно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важке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вчителя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адже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добитися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дисципліни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уваги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рахунок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“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сидіть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тихо!”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неможливо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Окрім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того,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потрібно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спланувати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впровадження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робити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його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поступово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. Урок не </w:t>
      </w:r>
      <w:proofErr w:type="gramStart"/>
      <w:r w:rsidRPr="00782ED0">
        <w:rPr>
          <w:rFonts w:ascii="Times New Roman" w:hAnsi="Times New Roman"/>
          <w:sz w:val="24"/>
          <w:szCs w:val="24"/>
          <w:lang w:eastAsia="ru-RU"/>
        </w:rPr>
        <w:t>повинен</w:t>
      </w:r>
      <w:proofErr w:type="gram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бути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перевантаженим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інтерактивною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роботою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>. Оптимально (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з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практики) - 1-2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методи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за урок. За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умови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вмілого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провадження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інтерактивні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методи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навчання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дозволяють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залучити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роботи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82ED0">
        <w:rPr>
          <w:rFonts w:ascii="Times New Roman" w:hAnsi="Times New Roman"/>
          <w:sz w:val="24"/>
          <w:szCs w:val="24"/>
          <w:lang w:eastAsia="ru-RU"/>
        </w:rPr>
        <w:t>вс</w:t>
      </w:r>
      <w:proofErr w:type="gramEnd"/>
      <w:r w:rsidRPr="00782ED0">
        <w:rPr>
          <w:rFonts w:ascii="Times New Roman" w:hAnsi="Times New Roman"/>
          <w:sz w:val="24"/>
          <w:szCs w:val="24"/>
          <w:lang w:eastAsia="ru-RU"/>
        </w:rPr>
        <w:t>іх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учнів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класу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сприяють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виробленню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соціально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важливих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навиків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роботи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колективі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взаємодії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дискусії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обговорення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. При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застосуванні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інтерактивного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навчання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поглиблюється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мотиваційна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структура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особистості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2ED0">
        <w:rPr>
          <w:rFonts w:ascii="Times New Roman" w:hAnsi="Times New Roman"/>
          <w:sz w:val="24"/>
          <w:szCs w:val="24"/>
          <w:lang w:eastAsia="ru-RU"/>
        </w:rPr>
        <w:t>учня</w:t>
      </w:r>
      <w:proofErr w:type="spellEnd"/>
      <w:r w:rsidRPr="00782ED0">
        <w:rPr>
          <w:rFonts w:ascii="Times New Roman" w:hAnsi="Times New Roman"/>
          <w:sz w:val="24"/>
          <w:szCs w:val="24"/>
          <w:lang w:eastAsia="ru-RU"/>
        </w:rPr>
        <w:t>.</w:t>
      </w:r>
    </w:p>
    <w:p w:rsidR="0093517D" w:rsidRPr="00782ED0" w:rsidRDefault="0093517D" w:rsidP="0093517D">
      <w:pPr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УХВАЛИЛИ: затвердити доповідь викладача  та використовувати розглянуті теоретичні аспекти на уроках природничих дисциплін.</w:t>
      </w:r>
    </w:p>
    <w:p w:rsidR="0093517D" w:rsidRPr="00782ED0" w:rsidRDefault="0093517D" w:rsidP="0093517D">
      <w:pPr>
        <w:spacing w:line="276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По – п’ятому питанню</w:t>
      </w:r>
    </w:p>
    <w:p w:rsidR="0093517D" w:rsidRPr="00782ED0" w:rsidRDefault="0093517D" w:rsidP="0093517D">
      <w:pPr>
        <w:spacing w:line="276" w:lineRule="auto"/>
        <w:ind w:firstLine="284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СЛУХАЛИ: викладача </w:t>
      </w:r>
      <w:r w:rsidR="00DD725B" w:rsidRPr="00782ED0">
        <w:rPr>
          <w:rFonts w:ascii="Times New Roman" w:hAnsi="Times New Roman"/>
          <w:sz w:val="24"/>
          <w:szCs w:val="24"/>
          <w:lang w:val="uk-UA"/>
        </w:rPr>
        <w:t>математики Левчук Н.</w:t>
      </w:r>
      <w:proofErr w:type="spellStart"/>
      <w:r w:rsidR="00DD725B" w:rsidRPr="00782ED0">
        <w:rPr>
          <w:rFonts w:ascii="Times New Roman" w:hAnsi="Times New Roman"/>
          <w:sz w:val="24"/>
          <w:szCs w:val="24"/>
          <w:lang w:val="uk-UA"/>
        </w:rPr>
        <w:t>М.</w:t>
      </w:r>
      <w:r w:rsidRPr="00782ED0">
        <w:rPr>
          <w:rFonts w:ascii="Times New Roman" w:hAnsi="Times New Roman"/>
          <w:sz w:val="24"/>
          <w:szCs w:val="24"/>
          <w:lang w:val="uk-UA"/>
        </w:rPr>
        <w:t>на</w:t>
      </w:r>
      <w:proofErr w:type="spellEnd"/>
      <w:r w:rsidRPr="00782ED0">
        <w:rPr>
          <w:rFonts w:ascii="Times New Roman" w:hAnsi="Times New Roman"/>
          <w:sz w:val="24"/>
          <w:szCs w:val="24"/>
          <w:lang w:val="uk-UA"/>
        </w:rPr>
        <w:t xml:space="preserve"> тему: </w:t>
      </w:r>
      <w:r w:rsidR="00DD725B" w:rsidRPr="00782ED0">
        <w:rPr>
          <w:rFonts w:ascii="Times New Roman" w:hAnsi="Times New Roman"/>
          <w:sz w:val="24"/>
          <w:szCs w:val="24"/>
          <w:lang w:val="uk-UA"/>
        </w:rPr>
        <w:t xml:space="preserve">підготовка та проведення позакласного </w:t>
      </w:r>
      <w:proofErr w:type="spellStart"/>
      <w:r w:rsidR="00DD725B" w:rsidRPr="00782ED0">
        <w:rPr>
          <w:rFonts w:ascii="Times New Roman" w:hAnsi="Times New Roman"/>
          <w:sz w:val="24"/>
          <w:szCs w:val="24"/>
          <w:lang w:val="uk-UA"/>
        </w:rPr>
        <w:t>західу</w:t>
      </w:r>
      <w:proofErr w:type="spellEnd"/>
      <w:r w:rsidR="00DD725B" w:rsidRPr="00782ED0">
        <w:rPr>
          <w:rFonts w:ascii="Times New Roman" w:hAnsi="Times New Roman"/>
          <w:sz w:val="24"/>
          <w:szCs w:val="24"/>
          <w:lang w:val="uk-UA"/>
        </w:rPr>
        <w:t xml:space="preserve"> з математики: усний журнал «Пошана великим математикам</w:t>
      </w:r>
      <w:r w:rsidRPr="00782ED0">
        <w:rPr>
          <w:rFonts w:ascii="Times New Roman" w:hAnsi="Times New Roman"/>
          <w:bCs/>
          <w:sz w:val="24"/>
          <w:szCs w:val="24"/>
          <w:lang w:val="uk-UA" w:eastAsia="uk-UA"/>
        </w:rPr>
        <w:t>»</w:t>
      </w:r>
    </w:p>
    <w:p w:rsidR="00DD725B" w:rsidRPr="00782ED0" w:rsidRDefault="00DD725B" w:rsidP="0093517D">
      <w:pPr>
        <w:spacing w:line="276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>Викладач повідомила, що захід відбудеться 20 жовтня, в актовій залі, всі учні отримали випереджальні завдання (їх виконання на контролі викладача), підготовлений сценарій проведення та слайдів супровід заходу.</w:t>
      </w:r>
    </w:p>
    <w:p w:rsidR="0093517D" w:rsidRPr="00782ED0" w:rsidRDefault="0093517D" w:rsidP="0093517D">
      <w:pPr>
        <w:spacing w:line="276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782ED0">
        <w:rPr>
          <w:rFonts w:ascii="Times New Roman" w:hAnsi="Times New Roman"/>
          <w:sz w:val="24"/>
          <w:szCs w:val="24"/>
          <w:lang w:val="uk-UA"/>
        </w:rPr>
        <w:t xml:space="preserve">УХВАЛИЛИ: </w:t>
      </w:r>
      <w:r w:rsidR="00DD725B" w:rsidRPr="00782ED0">
        <w:rPr>
          <w:rFonts w:ascii="Times New Roman" w:hAnsi="Times New Roman"/>
          <w:sz w:val="24"/>
          <w:szCs w:val="24"/>
          <w:lang w:val="uk-UA"/>
        </w:rPr>
        <w:t>погодити форму проведення, дату проведення.</w:t>
      </w:r>
      <w:r w:rsidRPr="00782ED0">
        <w:rPr>
          <w:rFonts w:ascii="Times New Roman" w:hAnsi="Times New Roman"/>
          <w:sz w:val="24"/>
          <w:szCs w:val="24"/>
          <w:lang w:val="uk-UA"/>
        </w:rPr>
        <w:t>.</w:t>
      </w:r>
    </w:p>
    <w:p w:rsidR="0093517D" w:rsidRPr="00F851A8" w:rsidRDefault="0093517D" w:rsidP="0093517D">
      <w:pPr>
        <w:rPr>
          <w:lang w:val="uk-UA"/>
        </w:rPr>
      </w:pPr>
    </w:p>
    <w:p w:rsidR="0093517D" w:rsidRPr="00D23401" w:rsidRDefault="0093517D" w:rsidP="0093517D">
      <w:pPr>
        <w:rPr>
          <w:lang w:val="uk-UA"/>
        </w:rPr>
      </w:pPr>
    </w:p>
    <w:p w:rsidR="00B53E10" w:rsidRPr="0093517D" w:rsidRDefault="00B53E10">
      <w:pPr>
        <w:rPr>
          <w:lang w:val="uk-UA"/>
        </w:rPr>
      </w:pPr>
    </w:p>
    <w:sectPr w:rsidR="00B53E10" w:rsidRPr="0093517D" w:rsidSect="00BC5945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C8A"/>
    <w:multiLevelType w:val="hybridMultilevel"/>
    <w:tmpl w:val="725A7A0E"/>
    <w:lvl w:ilvl="0" w:tplc="23364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90BCF"/>
    <w:multiLevelType w:val="hybridMultilevel"/>
    <w:tmpl w:val="51EEA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FA4D95"/>
    <w:multiLevelType w:val="hybridMultilevel"/>
    <w:tmpl w:val="01E289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C414465"/>
    <w:multiLevelType w:val="hybridMultilevel"/>
    <w:tmpl w:val="48100DF8"/>
    <w:lvl w:ilvl="0" w:tplc="23364C5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F314C61"/>
    <w:multiLevelType w:val="hybridMultilevel"/>
    <w:tmpl w:val="D6BA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A65EA"/>
    <w:multiLevelType w:val="hybridMultilevel"/>
    <w:tmpl w:val="0EE4BF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82D5DCB"/>
    <w:multiLevelType w:val="hybridMultilevel"/>
    <w:tmpl w:val="18E670D0"/>
    <w:lvl w:ilvl="0" w:tplc="7D6AE6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3517D"/>
    <w:rsid w:val="000B1EDB"/>
    <w:rsid w:val="000C2915"/>
    <w:rsid w:val="00147200"/>
    <w:rsid w:val="00782ED0"/>
    <w:rsid w:val="0093517D"/>
    <w:rsid w:val="00B53E10"/>
    <w:rsid w:val="00DD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7D"/>
    <w:pPr>
      <w:spacing w:after="0" w:line="80" w:lineRule="atLeast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DD725B"/>
    <w:pPr>
      <w:keepNext/>
      <w:spacing w:line="240" w:lineRule="auto"/>
      <w:ind w:firstLine="567"/>
      <w:jc w:val="both"/>
      <w:outlineLvl w:val="1"/>
    </w:pPr>
    <w:rPr>
      <w:rFonts w:ascii="Times New Roman" w:hAnsi="Times New Roman"/>
      <w:sz w:val="28"/>
      <w:szCs w:val="20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7D"/>
    <w:pPr>
      <w:ind w:left="720"/>
      <w:contextualSpacing/>
    </w:pPr>
  </w:style>
  <w:style w:type="paragraph" w:styleId="a4">
    <w:name w:val="Body Text Indent"/>
    <w:basedOn w:val="a"/>
    <w:link w:val="a5"/>
    <w:rsid w:val="0093517D"/>
    <w:pPr>
      <w:spacing w:line="240" w:lineRule="auto"/>
      <w:ind w:firstLine="851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9351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D725B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4</cp:revision>
  <dcterms:created xsi:type="dcterms:W3CDTF">2015-11-12T19:08:00Z</dcterms:created>
  <dcterms:modified xsi:type="dcterms:W3CDTF">2015-11-12T19:14:00Z</dcterms:modified>
</cp:coreProperties>
</file>